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рекламы</w:t>
            </w:r>
          </w:p>
          <w:p>
            <w:pPr>
              <w:jc w:val="center"/>
              <w:spacing w:after="0" w:line="240" w:lineRule="auto"/>
              <w:rPr>
                <w:sz w:val="32"/>
                <w:szCs w:val="32"/>
              </w:rPr>
            </w:pPr>
            <w:r>
              <w:rPr>
                <w:rFonts w:ascii="Times New Roman" w:hAnsi="Times New Roman" w:cs="Times New Roman"/>
                <w:color w:val="#000000"/>
                <w:sz w:val="32"/>
                <w:szCs w:val="32"/>
              </w:rPr>
              <w:t> Б1.О.06.04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рекламы»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Б1.О.06.04 «Теория и практика рекламы».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рекламы»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уметь использовать информационные ресурсы различных знаковых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ОПК-1.15 владеть навыками использования информационных ресурсов различных знаковых систем</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рекламных текстов и (или) продуктов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необходимое современное программное обеспечение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современные стационарные и мобильные цифровые устройства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необходимое современное техническое оборудование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использовать необходимое современное программное обеспечение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использовать современные стационарные и мобильные цифровые устройства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владеть навыками использования необходимого современного технического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навыками использования необходимого современного программного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навыками использования современных стационарных и мобильных цифровых устройств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68.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Б1.О.06.04 «Теория и практика рекламы»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ОПК-4, ОПК-6,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9 зачетных единиц – 324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27</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понятия системного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324</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960.9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966.0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Медиатекст как особый тип текста. Отличительные особенности медиатекстов. Объект теории текста. Текст как законченное информационное и структурное целое. Прагматика текста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продукт речемыслительной деятельности, как коммуникативная единица высшего уровня, законченное информационное и структурное целое. Многоаспектность изучения текста. Вербальные и невербальные средства выражения значения в тексте. Блок информации (видео- и аудиоряд в СМИ). Прагматика текста. Особенности прагматики медиатекста. Восприятие текста. Восприятие медиатекста.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сфера функционирования медиатекста.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СМИ как сфера функционирования медиатекста. Роль СМИ в формировании картины мира современного человека. Средства СМИ. Жанры, в которых используется медиатекст.</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Цельность и связность как главные качества текста. Единицы текста. Единицы медиатекста. Типы текста. Жанровые разновидности медиатекстов.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речевое произведение, обладающее качествами целостности и связности. Соответствие структуры текста теме, выражаемой информации, условиям общения, задачам и избранному стилю изложения. Единицы текста. Компоненты высказывания — тема и рема (данное и новое). Лингвистические механизмы образования текста. Тема- рематические последовательности  и их разновидности. Абзац и сложное синтаксическое целое. Виды классического абзаца и его функции. Структурная связность текста, средства структурной связи. Скачки в последовательностях и их роль в передаче новой информации. Нарушение связанности как эстетический прием. Семантическая цельность текста. Ключевые слова и виды повторной номинации.Тексты официальные, специальные, научно-популярные, публицистиче¬ские, художественные; справочные, инструктивные. Разновидности текстов по их стилевой ориентации. Особенности новостных, аналитических, рекламных и других медиатекстов в зависимости от средства распространения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Типы СМИ в системе их жанров и стилей/подстилей.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создания информационных поводов для кампаний и проектов в сфере рекламы и связей с общественностью. Создание сценариев специальных событий и мероприятий для рекламной или PR кампании.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Жизненный цикл товара и рекламные задачи.</w:t>
            </w:r>
          </w:p>
          <w:p>
            <w:pPr>
              <w:jc w:val="both"/>
              <w:spacing w:after="0" w:line="240" w:lineRule="auto"/>
              <w:rPr>
                <w:sz w:val="24"/>
                <w:szCs w:val="24"/>
              </w:rPr>
            </w:pPr>
            <w:r>
              <w:rPr>
                <w:rFonts w:ascii="Times New Roman" w:hAnsi="Times New Roman" w:cs="Times New Roman"/>
                <w:color w:val="#000000"/>
                <w:sz w:val="24"/>
                <w:szCs w:val="24"/>
              </w:rPr>
              <w:t> Целевая аудитория рекламной кампании.</w:t>
            </w:r>
          </w:p>
          <w:p>
            <w:pPr>
              <w:jc w:val="both"/>
              <w:spacing w:after="0" w:line="240" w:lineRule="auto"/>
              <w:rPr>
                <w:sz w:val="24"/>
                <w:szCs w:val="24"/>
              </w:rPr>
            </w:pPr>
            <w:r>
              <w:rPr>
                <w:rFonts w:ascii="Times New Roman" w:hAnsi="Times New Roman" w:cs="Times New Roman"/>
                <w:color w:val="#000000"/>
                <w:sz w:val="24"/>
                <w:szCs w:val="24"/>
              </w:rPr>
              <w:t> Создание концепции рекламного обращения.</w:t>
            </w:r>
          </w:p>
          <w:p>
            <w:pPr>
              <w:jc w:val="both"/>
              <w:spacing w:after="0" w:line="240" w:lineRule="auto"/>
              <w:rPr>
                <w:sz w:val="24"/>
                <w:szCs w:val="24"/>
              </w:rPr>
            </w:pPr>
            <w:r>
              <w:rPr>
                <w:rFonts w:ascii="Times New Roman" w:hAnsi="Times New Roman" w:cs="Times New Roman"/>
                <w:color w:val="#000000"/>
                <w:sz w:val="24"/>
                <w:szCs w:val="24"/>
              </w:rPr>
              <w:t> Планирование и проведение рекламной кампании.Производство радиорекламы. Принципы создания сценария радиорекламы. Напи-сание сценария радиорекламы. Типы радиорекламы.</w:t>
            </w:r>
          </w:p>
          <w:p>
            <w:pPr>
              <w:jc w:val="both"/>
              <w:spacing w:after="0" w:line="240" w:lineRule="auto"/>
              <w:rPr>
                <w:sz w:val="24"/>
                <w:szCs w:val="24"/>
              </w:rPr>
            </w:pPr>
            <w:r>
              <w:rPr>
                <w:rFonts w:ascii="Times New Roman" w:hAnsi="Times New Roman" w:cs="Times New Roman"/>
                <w:color w:val="#000000"/>
                <w:sz w:val="24"/>
                <w:szCs w:val="24"/>
              </w:rPr>
              <w:t> Производство рекламного продукта для сети Интернет.Художественное редактирование в рекламе. Реклама и искусство. Роль криейтора в рекламном творчестве. Художественный редактор. Художник — дизайнер, художник — иллюстратор, художник — оформитель и их функции в рекламе. Художественный дизайн в рекламе. Компьютерный дизайн в рекламе. Режиссура рекламы.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техническое оборудование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техническое оборудование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понятия системного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системного программного обеспечения и операционной системы. ОС как виртуальная машина и как система управления ресурсами. Мультипрограммность и многозадачность. Основные фу нкции ОС. Многослойная архитектура современной ОС. Системные и пользовательские процессы. Организация режимов пользователя и ядра. Сетевые службы и сетевые сервисы. Микроядерная архтектура ОС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стационарные и мобильные цифровые устройства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стационарные и мобильные цифровые устройства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маркетинговых исследований. Опрос как метод сбора первичной информации.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 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 Метод имитационного моделирования.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рекламы» / Мельникова 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http://www.iprbookshop.ru/39114.html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медиатекста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Богуславская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Тепляшина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Толстокулакова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http://www.iprbookshop.ru/79972.html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https://urait.ru/bcode/430788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http://www.iprbookshop.ru/10519.html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Каптюхин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Интернет-реклама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5-7764-0316-2.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http://www.iprbookshop.ru/10813.html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рекламный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978-5-211-06202-3.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маркетинговых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Груздева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Ижевск:</w:t>
            </w:r>
            <w:r>
              <w:rPr/>
              <w:t xml:space="preserve"> </w:t>
            </w:r>
            <w:r>
              <w:rPr>
                <w:rFonts w:ascii="Times New Roman" w:hAnsi="Times New Roman" w:cs="Times New Roman"/>
                <w:color w:val="#000000"/>
                <w:sz w:val="24"/>
                <w:szCs w:val="24"/>
              </w:rPr>
              <w:t>Ижевский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Калашникова,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978-5-7526-0764-6.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http://www.iprbookshop.ru/73869.html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978-5-7782-1429-3.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Формальные</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трансляции.</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Малявко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978-5-7782-1960-1.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http://www.iprbookshop.ru/45019.html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978-5-9916-4492-1.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https://www.biblio-online.ru/bcode/384153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21.3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2024-2025_ФГОС3++2024_Бак-ЗФО-РСО(24)_plx_Теория и практика рекламы</dc:title>
  <dc:creator>FastReport.NET</dc:creator>
</cp:coreProperties>
</file>